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A74" w:rsidRDefault="00932A74" w:rsidP="00932A74">
      <w:pPr>
        <w:pStyle w:val="NormaleWeb"/>
        <w:spacing w:before="0" w:beforeAutospacing="0" w:after="160" w:afterAutospacing="0"/>
        <w:jc w:val="center"/>
      </w:pPr>
      <w:bookmarkStart w:id="0" w:name="_GoBack"/>
      <w:r>
        <w:rPr>
          <w:color w:val="000000"/>
        </w:rPr>
        <w:t>LICEO CLASSICO “VITTORIO EMANUELE II”</w:t>
      </w:r>
    </w:p>
    <w:bookmarkEnd w:id="0"/>
    <w:p w:rsidR="00932A74" w:rsidRDefault="00932A74" w:rsidP="00932A74">
      <w:pPr>
        <w:pStyle w:val="NormaleWeb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Programma di Greco </w:t>
      </w:r>
    </w:p>
    <w:p w:rsidR="00932A74" w:rsidRDefault="00932A74" w:rsidP="00932A74">
      <w:pPr>
        <w:pStyle w:val="NormaleWeb"/>
        <w:spacing w:before="0" w:beforeAutospacing="0" w:after="160" w:afterAutospacing="0"/>
        <w:jc w:val="center"/>
      </w:pPr>
      <w:r>
        <w:rPr>
          <w:color w:val="000000"/>
        </w:rPr>
        <w:t>Classe II sez. B</w:t>
      </w:r>
    </w:p>
    <w:p w:rsidR="00932A74" w:rsidRDefault="00932A74" w:rsidP="00932A74">
      <w:pPr>
        <w:pStyle w:val="NormaleWeb"/>
        <w:spacing w:before="0" w:beforeAutospacing="0" w:after="160" w:afterAutospacing="0"/>
        <w:jc w:val="center"/>
      </w:pPr>
      <w:r>
        <w:rPr>
          <w:color w:val="000000"/>
        </w:rPr>
        <w:t>Anno scolastico: 2016/2017</w:t>
      </w:r>
    </w:p>
    <w:p w:rsidR="00932A74" w:rsidRDefault="00932A74" w:rsidP="00932A74">
      <w:pPr>
        <w:pStyle w:val="NormaleWeb"/>
        <w:spacing w:before="0" w:beforeAutospacing="0" w:after="160" w:afterAutospacing="0"/>
        <w:jc w:val="center"/>
      </w:pPr>
      <w:r>
        <w:rPr>
          <w:color w:val="000000"/>
        </w:rPr>
        <w:t>Prof.ssa Paola Carrozzo</w:t>
      </w:r>
    </w:p>
    <w:p w:rsidR="00932A74" w:rsidRDefault="00932A74" w:rsidP="00932A74">
      <w:pPr>
        <w:pStyle w:val="NormaleWeb"/>
        <w:spacing w:before="0" w:beforeAutospacing="0" w:after="160" w:afterAutospacing="0"/>
        <w:jc w:val="center"/>
      </w:pPr>
      <w:r>
        <w:t>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Libri di testo: Rossi L. E., </w:t>
      </w:r>
      <w:proofErr w:type="spellStart"/>
      <w:r>
        <w:rPr>
          <w:color w:val="000000"/>
        </w:rPr>
        <w:t>Nicolai</w:t>
      </w:r>
      <w:proofErr w:type="spellEnd"/>
      <w:r>
        <w:rPr>
          <w:color w:val="000000"/>
        </w:rPr>
        <w:t xml:space="preserve"> R., Letteratura greca, l’età arcaica, vol. 1, Le </w:t>
      </w:r>
      <w:proofErr w:type="spellStart"/>
      <w:r>
        <w:rPr>
          <w:color w:val="000000"/>
        </w:rPr>
        <w:t>Monnier</w:t>
      </w:r>
      <w:proofErr w:type="spellEnd"/>
      <w:r>
        <w:rPr>
          <w:color w:val="000000"/>
        </w:rPr>
        <w:t xml:space="preserve"> scuola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                      Rossi L. E., </w:t>
      </w:r>
      <w:proofErr w:type="spellStart"/>
      <w:r>
        <w:rPr>
          <w:color w:val="000000"/>
        </w:rPr>
        <w:t>Nicolai</w:t>
      </w:r>
      <w:proofErr w:type="spellEnd"/>
      <w:r>
        <w:rPr>
          <w:color w:val="000000"/>
        </w:rPr>
        <w:t xml:space="preserve"> R., Letteratura greca, l’età classica, vol. 2, Le </w:t>
      </w:r>
      <w:proofErr w:type="spellStart"/>
      <w:r>
        <w:rPr>
          <w:color w:val="000000"/>
        </w:rPr>
        <w:t>Monnier</w:t>
      </w:r>
      <w:proofErr w:type="spellEnd"/>
      <w:r>
        <w:rPr>
          <w:color w:val="000000"/>
        </w:rPr>
        <w:t xml:space="preserve"> scuola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                        Giannetto A. M., </w:t>
      </w:r>
      <w:proofErr w:type="spellStart"/>
      <w:r>
        <w:rPr>
          <w:color w:val="000000"/>
          <w:sz w:val="22"/>
          <w:szCs w:val="22"/>
        </w:rPr>
        <w:t>Gisiano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Meltemi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color w:val="000000"/>
        </w:rPr>
        <w:t>Zanichelli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                     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PROGRAMMA DI LETTERATURA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La lirica monodica (VII e VI sec. a. C.)</w:t>
      </w:r>
      <w:r>
        <w:rPr>
          <w:rStyle w:val="apple-tab-span"/>
          <w:b/>
          <w:bCs/>
          <w:color w:val="000000"/>
          <w:sz w:val="28"/>
          <w:szCs w:val="28"/>
        </w:rPr>
        <w:tab/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La tradizione poetico-musicale di Lesbo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Alceo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Una poesia per il simposio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Gli inni di apertura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 carmi di lotta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I carmi </w:t>
      </w:r>
      <w:proofErr w:type="spellStart"/>
      <w:r>
        <w:rPr>
          <w:color w:val="000000"/>
        </w:rPr>
        <w:t>metasimposiali</w:t>
      </w:r>
      <w:proofErr w:type="spellEnd"/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L’eros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Il mito e la natura</w:t>
      </w:r>
    </w:p>
    <w:p w:rsidR="00932A74" w:rsidRDefault="00932A74" w:rsidP="00932A74">
      <w:pPr>
        <w:pStyle w:val="NormaleWeb"/>
        <w:numPr>
          <w:ilvl w:val="0"/>
          <w:numId w:val="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Metrica e musica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Lettura in italiano dei seguenti frammenti: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Il vino rimedio dei mali</w:t>
      </w:r>
      <w:r>
        <w:rPr>
          <w:color w:val="000000"/>
          <w:sz w:val="22"/>
          <w:szCs w:val="22"/>
        </w:rPr>
        <w:t xml:space="preserve"> (fr.335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Il simposio invernale</w:t>
      </w:r>
      <w:r>
        <w:rPr>
          <w:color w:val="000000"/>
          <w:sz w:val="22"/>
          <w:szCs w:val="22"/>
        </w:rPr>
        <w:t xml:space="preserve"> (fr.338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Il simposio estivo</w:t>
      </w:r>
      <w:r>
        <w:rPr>
          <w:color w:val="000000"/>
          <w:sz w:val="22"/>
          <w:szCs w:val="22"/>
        </w:rPr>
        <w:t xml:space="preserve"> (fr.347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Un simposio contro le regole</w:t>
      </w:r>
      <w:r>
        <w:rPr>
          <w:color w:val="000000"/>
          <w:sz w:val="22"/>
          <w:szCs w:val="22"/>
        </w:rPr>
        <w:t xml:space="preserve"> (fr.346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proofErr w:type="spellStart"/>
      <w:r>
        <w:rPr>
          <w:i/>
          <w:iCs/>
          <w:color w:val="000000"/>
          <w:sz w:val="22"/>
          <w:szCs w:val="22"/>
        </w:rPr>
        <w:t>Mirsilo</w:t>
      </w:r>
      <w:proofErr w:type="spellEnd"/>
      <w:r>
        <w:rPr>
          <w:i/>
          <w:iCs/>
          <w:color w:val="000000"/>
          <w:sz w:val="22"/>
          <w:szCs w:val="22"/>
        </w:rPr>
        <w:t xml:space="preserve"> è morto!</w:t>
      </w:r>
      <w:r>
        <w:rPr>
          <w:color w:val="000000"/>
          <w:sz w:val="22"/>
          <w:szCs w:val="22"/>
        </w:rPr>
        <w:t xml:space="preserve"> (fr.332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 xml:space="preserve">Il traditore </w:t>
      </w:r>
      <w:proofErr w:type="spellStart"/>
      <w:r>
        <w:rPr>
          <w:i/>
          <w:iCs/>
          <w:color w:val="000000"/>
          <w:sz w:val="22"/>
          <w:szCs w:val="22"/>
        </w:rPr>
        <w:t>Pittaco</w:t>
      </w:r>
      <w:proofErr w:type="spellEnd"/>
      <w:r>
        <w:rPr>
          <w:color w:val="000000"/>
          <w:sz w:val="22"/>
          <w:szCs w:val="22"/>
        </w:rPr>
        <w:t xml:space="preserve"> (fr.129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proofErr w:type="spellStart"/>
      <w:r>
        <w:rPr>
          <w:i/>
          <w:iCs/>
          <w:color w:val="000000"/>
          <w:sz w:val="22"/>
          <w:szCs w:val="22"/>
        </w:rPr>
        <w:t>Pittaco</w:t>
      </w:r>
      <w:proofErr w:type="spellEnd"/>
      <w:r>
        <w:rPr>
          <w:i/>
          <w:iCs/>
          <w:color w:val="000000"/>
          <w:sz w:val="22"/>
          <w:szCs w:val="22"/>
        </w:rPr>
        <w:t xml:space="preserve"> ignobile</w:t>
      </w:r>
      <w:r>
        <w:rPr>
          <w:color w:val="000000"/>
          <w:sz w:val="22"/>
          <w:szCs w:val="22"/>
        </w:rPr>
        <w:t xml:space="preserve"> (fr.348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La sala d’armi</w:t>
      </w:r>
      <w:r>
        <w:rPr>
          <w:color w:val="000000"/>
          <w:sz w:val="22"/>
          <w:szCs w:val="22"/>
        </w:rPr>
        <w:t xml:space="preserve"> (fr.140 V)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La malinconia dell’esilio</w:t>
      </w:r>
      <w:r>
        <w:rPr>
          <w:color w:val="000000"/>
          <w:sz w:val="22"/>
          <w:szCs w:val="22"/>
        </w:rPr>
        <w:t xml:space="preserve"> (fr.130b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Saffo</w:t>
      </w:r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Il </w:t>
      </w:r>
      <w:proofErr w:type="spellStart"/>
      <w:r>
        <w:rPr>
          <w:color w:val="000000"/>
        </w:rPr>
        <w:t>tìaso</w:t>
      </w:r>
      <w:proofErr w:type="spellEnd"/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 xml:space="preserve">Una poesia d’amore per il </w:t>
      </w:r>
      <w:proofErr w:type="spellStart"/>
      <w:r>
        <w:rPr>
          <w:color w:val="000000"/>
        </w:rPr>
        <w:t>tìaso</w:t>
      </w:r>
      <w:proofErr w:type="spellEnd"/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Gli epitalami</w:t>
      </w:r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lastRenderedPageBreak/>
        <w:t>Lingua e stile</w:t>
      </w:r>
    </w:p>
    <w:p w:rsidR="00932A74" w:rsidRDefault="00932A74" w:rsidP="00932A74">
      <w:pPr>
        <w:pStyle w:val="NormaleWeb"/>
        <w:numPr>
          <w:ilvl w:val="0"/>
          <w:numId w:val="2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Metrica e musica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Lettura in italiano dei seguenti frammenti: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L’ode ad Afrodite</w:t>
      </w:r>
      <w:r>
        <w:rPr>
          <w:color w:val="000000"/>
          <w:sz w:val="22"/>
          <w:szCs w:val="22"/>
        </w:rPr>
        <w:t xml:space="preserve"> (fr.1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Il catalogo delle cose belle</w:t>
      </w:r>
      <w:r>
        <w:rPr>
          <w:color w:val="000000"/>
          <w:sz w:val="22"/>
          <w:szCs w:val="22"/>
        </w:rPr>
        <w:t xml:space="preserve"> (fr.16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Malattia d’amore</w:t>
      </w:r>
      <w:r>
        <w:rPr>
          <w:color w:val="000000"/>
          <w:sz w:val="22"/>
          <w:szCs w:val="22"/>
        </w:rPr>
        <w:t xml:space="preserve"> (fr.31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Desiderio di morte</w:t>
      </w:r>
      <w:r>
        <w:rPr>
          <w:color w:val="000000"/>
          <w:sz w:val="22"/>
          <w:szCs w:val="22"/>
        </w:rPr>
        <w:t xml:space="preserve"> (fr.94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Eros dolceamaro</w:t>
      </w:r>
      <w:r>
        <w:rPr>
          <w:color w:val="000000"/>
          <w:sz w:val="22"/>
          <w:szCs w:val="22"/>
        </w:rPr>
        <w:t xml:space="preserve"> (fr.130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Eros che squassa l’anima</w:t>
      </w:r>
      <w:r>
        <w:rPr>
          <w:color w:val="000000"/>
          <w:sz w:val="22"/>
          <w:szCs w:val="22"/>
        </w:rPr>
        <w:t xml:space="preserve"> (fr.47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 xml:space="preserve">Solitudine </w:t>
      </w:r>
      <w:r>
        <w:rPr>
          <w:color w:val="000000"/>
          <w:sz w:val="22"/>
          <w:szCs w:val="22"/>
        </w:rPr>
        <w:t>(fr.168b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Il fiore della verginità</w:t>
      </w:r>
      <w:r>
        <w:rPr>
          <w:color w:val="000000"/>
          <w:sz w:val="22"/>
          <w:szCs w:val="22"/>
        </w:rPr>
        <w:t xml:space="preserve"> (fr.105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Uno sposo simile ad Ares</w:t>
      </w:r>
      <w:r>
        <w:rPr>
          <w:color w:val="000000"/>
          <w:sz w:val="22"/>
          <w:szCs w:val="22"/>
        </w:rPr>
        <w:t xml:space="preserve"> (fr.111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Dialogo tra una sposa e la verginità</w:t>
      </w:r>
      <w:r>
        <w:rPr>
          <w:color w:val="000000"/>
          <w:sz w:val="22"/>
          <w:szCs w:val="22"/>
        </w:rPr>
        <w:t xml:space="preserve"> (fr.114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t>La melica tardoantica (VI-V sec a. C.)</w:t>
      </w:r>
    </w:p>
    <w:p w:rsidR="00932A74" w:rsidRDefault="00932A74" w:rsidP="00932A74">
      <w:pPr>
        <w:pStyle w:val="NormaleWeb"/>
        <w:spacing w:before="0" w:beforeAutospacing="0" w:after="160" w:afterAutospacing="0"/>
      </w:pPr>
      <w:proofErr w:type="spellStart"/>
      <w:r>
        <w:rPr>
          <w:b/>
          <w:bCs/>
          <w:color w:val="000000"/>
        </w:rPr>
        <w:t>Simonide</w:t>
      </w:r>
      <w:proofErr w:type="spellEnd"/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 lamenti funebri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Gli epinici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Gli scoli </w:t>
      </w:r>
      <w:proofErr w:type="spellStart"/>
      <w:r>
        <w:rPr>
          <w:color w:val="000000"/>
        </w:rPr>
        <w:t>simposiali</w:t>
      </w:r>
      <w:proofErr w:type="spellEnd"/>
      <w:r>
        <w:rPr>
          <w:color w:val="000000"/>
        </w:rPr>
        <w:t xml:space="preserve"> e gli epigrammi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Il </w:t>
      </w:r>
      <w:r>
        <w:rPr>
          <w:i/>
          <w:iCs/>
          <w:color w:val="000000"/>
        </w:rPr>
        <w:t>Lamento di Danae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Il poeta e i committenti</w:t>
      </w:r>
    </w:p>
    <w:p w:rsidR="00932A74" w:rsidRDefault="00932A74" w:rsidP="00932A74">
      <w:pPr>
        <w:pStyle w:val="Normale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Lingua e stile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Lettura in italiano dei seguenti frammenti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 xml:space="preserve">Il </w:t>
      </w:r>
      <w:proofErr w:type="spellStart"/>
      <w:r>
        <w:rPr>
          <w:rFonts w:ascii="Calibri" w:hAnsi="Calibri" w:cs="Calibri"/>
          <w:i/>
          <w:iCs/>
          <w:color w:val="000000"/>
          <w:sz w:val="22"/>
          <w:szCs w:val="22"/>
        </w:rPr>
        <w:t>threnos</w:t>
      </w:r>
      <w:proofErr w:type="spellEnd"/>
      <w:r>
        <w:rPr>
          <w:i/>
          <w:iCs/>
          <w:color w:val="000000"/>
          <w:sz w:val="22"/>
          <w:szCs w:val="22"/>
        </w:rPr>
        <w:t xml:space="preserve"> per i caduti alle </w:t>
      </w:r>
      <w:proofErr w:type="spellStart"/>
      <w:r>
        <w:rPr>
          <w:i/>
          <w:iCs/>
          <w:color w:val="000000"/>
          <w:sz w:val="22"/>
          <w:szCs w:val="22"/>
        </w:rPr>
        <w:t>Termopilli</w:t>
      </w:r>
      <w:proofErr w:type="spellEnd"/>
      <w:r>
        <w:rPr>
          <w:color w:val="000000"/>
          <w:sz w:val="22"/>
          <w:szCs w:val="22"/>
        </w:rPr>
        <w:t xml:space="preserve"> (</w:t>
      </w:r>
      <w:proofErr w:type="spellStart"/>
      <w:r>
        <w:rPr>
          <w:color w:val="000000"/>
          <w:sz w:val="22"/>
          <w:szCs w:val="22"/>
        </w:rPr>
        <w:t>fr</w:t>
      </w:r>
      <w:proofErr w:type="spellEnd"/>
      <w:r>
        <w:rPr>
          <w:color w:val="000000"/>
          <w:sz w:val="22"/>
          <w:szCs w:val="22"/>
        </w:rPr>
        <w:t>. 531 PMG)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Fr.521 PMG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Fr.542 PMG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  <w:sz w:val="22"/>
          <w:szCs w:val="22"/>
        </w:rPr>
        <w:t>La disperazione di una madre</w:t>
      </w:r>
      <w:r>
        <w:rPr>
          <w:color w:val="000000"/>
          <w:sz w:val="22"/>
          <w:szCs w:val="22"/>
        </w:rPr>
        <w:t xml:space="preserve"> (fr.543 PMG)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Pindaro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La vita e le opere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Temi e struttura dell’epinicio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I committenti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Gli altri carmi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L’etica aristocratica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Lingua e stile</w:t>
      </w:r>
    </w:p>
    <w:p w:rsidR="00932A74" w:rsidRDefault="00932A74" w:rsidP="00932A74">
      <w:pPr>
        <w:pStyle w:val="NormaleWeb"/>
        <w:numPr>
          <w:ilvl w:val="0"/>
          <w:numId w:val="4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</w:rPr>
      </w:pPr>
      <w:r>
        <w:rPr>
          <w:color w:val="000000"/>
        </w:rPr>
        <w:t>Metrica e musica</w:t>
      </w:r>
    </w:p>
    <w:p w:rsidR="00932A74" w:rsidRDefault="00975922" w:rsidP="00932A74">
      <w:pPr>
        <w:pStyle w:val="NormaleWeb"/>
        <w:spacing w:before="0" w:beforeAutospacing="0" w:after="160" w:afterAutospacing="0"/>
      </w:pPr>
      <w:proofErr w:type="spellStart"/>
      <w:r>
        <w:rPr>
          <w:b/>
          <w:bCs/>
          <w:color w:val="000000"/>
        </w:rPr>
        <w:t>Bacchi</w:t>
      </w:r>
      <w:r w:rsidR="00932A74">
        <w:rPr>
          <w:b/>
          <w:bCs/>
          <w:color w:val="000000"/>
        </w:rPr>
        <w:t>lide</w:t>
      </w:r>
      <w:proofErr w:type="spellEnd"/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Cenni sulla vita, gli epinici e i ditirambi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Lettura di approfondimento: Le cerimonie e le feste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8"/>
          <w:szCs w:val="28"/>
        </w:rPr>
        <w:lastRenderedPageBreak/>
        <w:t xml:space="preserve">Dalle guerre persiane alla crisi della </w:t>
      </w:r>
      <w:r>
        <w:rPr>
          <w:b/>
          <w:bCs/>
          <w:i/>
          <w:iCs/>
          <w:color w:val="000000"/>
          <w:sz w:val="28"/>
          <w:szCs w:val="28"/>
        </w:rPr>
        <w:t>polis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La tragedia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La tragedia e il paradigma del classico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Tragedia e </w:t>
      </w:r>
      <w:r>
        <w:rPr>
          <w:i/>
          <w:iCs/>
          <w:color w:val="000000"/>
          <w:sz w:val="22"/>
          <w:szCs w:val="22"/>
        </w:rPr>
        <w:t>polis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La messa in scena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La struttura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L’origine della Tragedia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I primi tragediografi (cenni)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Il dramma satiresco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Lettura di approfondimento: </w:t>
      </w:r>
      <w:r>
        <w:rPr>
          <w:i/>
          <w:iCs/>
          <w:color w:val="000000"/>
          <w:sz w:val="22"/>
          <w:szCs w:val="22"/>
        </w:rPr>
        <w:t>La nascita della tragedia secondo Friedrich Nietzsche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  <w:sz w:val="22"/>
          <w:szCs w:val="22"/>
        </w:rPr>
        <w:t>Eschilo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vita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 opere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 teatro di idee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temi etici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 Persiani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Sette contro Tebe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Supplici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i/>
          <w:iCs/>
          <w:color w:val="000000"/>
          <w:sz w:val="22"/>
          <w:szCs w:val="22"/>
        </w:rPr>
        <w:t>Orestea</w:t>
      </w:r>
      <w:proofErr w:type="spellEnd"/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Prometeo incatenato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drammaturgia di Eschilo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Lingua e stile</w:t>
      </w:r>
    </w:p>
    <w:p w:rsidR="00932A74" w:rsidRDefault="00932A74" w:rsidP="00932A74">
      <w:pPr>
        <w:pStyle w:val="NormaleWeb"/>
        <w:numPr>
          <w:ilvl w:val="0"/>
          <w:numId w:val="5"/>
        </w:numPr>
        <w:spacing w:before="0" w:beforeAutospacing="0" w:after="16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Metrica e musica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Letture antologiche: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  <w:r>
        <w:rPr>
          <w:i/>
          <w:iCs/>
          <w:color w:val="000000"/>
          <w:sz w:val="22"/>
          <w:szCs w:val="22"/>
        </w:rPr>
        <w:t>Conoscere attraverso il dolore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(</w:t>
      </w:r>
      <w:r>
        <w:rPr>
          <w:i/>
          <w:iCs/>
          <w:color w:val="000000"/>
          <w:sz w:val="22"/>
          <w:szCs w:val="22"/>
        </w:rPr>
        <w:t xml:space="preserve">Agamennone </w:t>
      </w:r>
      <w:r>
        <w:rPr>
          <w:color w:val="000000"/>
          <w:sz w:val="22"/>
          <w:szCs w:val="22"/>
        </w:rPr>
        <w:t>vv.1-257)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Lettura di approfondimento: </w:t>
      </w:r>
      <w:r>
        <w:rPr>
          <w:i/>
          <w:iCs/>
          <w:color w:val="000000"/>
          <w:sz w:val="22"/>
          <w:szCs w:val="22"/>
        </w:rPr>
        <w:t>L’</w:t>
      </w:r>
      <w:proofErr w:type="spellStart"/>
      <w:r>
        <w:rPr>
          <w:i/>
          <w:iCs/>
          <w:color w:val="000000"/>
          <w:sz w:val="22"/>
          <w:szCs w:val="22"/>
        </w:rPr>
        <w:t>Orestea</w:t>
      </w:r>
      <w:proofErr w:type="spellEnd"/>
      <w:r>
        <w:rPr>
          <w:i/>
          <w:iCs/>
          <w:color w:val="000000"/>
          <w:sz w:val="22"/>
          <w:szCs w:val="22"/>
        </w:rPr>
        <w:t>: un momento culminante dell’arte umana</w:t>
      </w:r>
      <w:r>
        <w:rPr>
          <w:color w:val="000000"/>
          <w:sz w:val="22"/>
          <w:szCs w:val="22"/>
        </w:rPr>
        <w:t xml:space="preserve"> da A. </w:t>
      </w:r>
      <w:proofErr w:type="spellStart"/>
      <w:r>
        <w:rPr>
          <w:color w:val="000000"/>
          <w:sz w:val="22"/>
          <w:szCs w:val="22"/>
        </w:rPr>
        <w:t>Lesky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Storia della letteratura greca.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Sofocle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opere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Un teatro di eroi solitari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drammaturgia di Sofocle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Etica e religione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Lingua e stile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Metrica e musica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Aiace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Antigone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proofErr w:type="spellStart"/>
      <w:r>
        <w:rPr>
          <w:i/>
          <w:iCs/>
          <w:color w:val="000000"/>
        </w:rPr>
        <w:t>Trachinie</w:t>
      </w:r>
      <w:proofErr w:type="spellEnd"/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Edipo re</w:t>
      </w:r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i/>
          <w:iCs/>
          <w:color w:val="000000"/>
        </w:rPr>
      </w:pPr>
      <w:proofErr w:type="spellStart"/>
      <w:r>
        <w:rPr>
          <w:i/>
          <w:iCs/>
          <w:color w:val="000000"/>
        </w:rPr>
        <w:t>Filottète</w:t>
      </w:r>
      <w:proofErr w:type="spellEnd"/>
    </w:p>
    <w:p w:rsidR="00932A74" w:rsidRDefault="00932A74" w:rsidP="00932A74">
      <w:pPr>
        <w:pStyle w:val="NormaleWeb"/>
        <w:numPr>
          <w:ilvl w:val="0"/>
          <w:numId w:val="6"/>
        </w:numPr>
        <w:spacing w:before="0" w:beforeAutospacing="0" w:after="160" w:afterAutospacing="0"/>
        <w:textAlignment w:val="baseline"/>
        <w:rPr>
          <w:rFonts w:ascii="Arial" w:hAnsi="Arial" w:cs="Arial"/>
          <w:i/>
          <w:iCs/>
          <w:color w:val="000000"/>
        </w:rPr>
      </w:pPr>
      <w:r>
        <w:rPr>
          <w:i/>
          <w:iCs/>
          <w:color w:val="000000"/>
        </w:rPr>
        <w:t>Edipo a Colono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Lettura di approfondimento: </w:t>
      </w:r>
      <w:r>
        <w:rPr>
          <w:i/>
          <w:iCs/>
          <w:color w:val="000000"/>
        </w:rPr>
        <w:t>L’ironia tragica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Letture antologiche: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lastRenderedPageBreak/>
        <w:t>Antigone e Ismene: il contrasto tra sentimenti e ragion di stato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Antigone   </w:t>
      </w:r>
      <w:r>
        <w:rPr>
          <w:color w:val="000000"/>
        </w:rPr>
        <w:t>vv.1-99)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>Il “discorso della corona”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Antigone,</w:t>
      </w:r>
      <w:r>
        <w:rPr>
          <w:color w:val="000000"/>
        </w:rPr>
        <w:t xml:space="preserve"> vv.162-314)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>Lo scontro tra Antigone e Creonte</w:t>
      </w:r>
      <w:r>
        <w:rPr>
          <w:color w:val="000000"/>
        </w:rPr>
        <w:t xml:space="preserve"> (</w:t>
      </w:r>
      <w:r>
        <w:rPr>
          <w:i/>
          <w:iCs/>
          <w:color w:val="000000"/>
        </w:rPr>
        <w:t>Antigone</w:t>
      </w:r>
      <w:r>
        <w:rPr>
          <w:color w:val="000000"/>
        </w:rPr>
        <w:t>, vv.441-525)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Euripide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opere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Sulla scena uomini “così come sono”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drammaturgia di Euripide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L’universo ideologico di Euripide</w:t>
      </w:r>
    </w:p>
    <w:p w:rsidR="00932A74" w:rsidRDefault="00932A74" w:rsidP="00932A74">
      <w:pPr>
        <w:pStyle w:val="Normale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grandi eroine: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Alcesti</w:t>
      </w:r>
      <w:proofErr w:type="spellEnd"/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 Medea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 Fedra  </w:t>
      </w:r>
    </w:p>
    <w:p w:rsidR="00932A74" w:rsidRDefault="00932A74" w:rsidP="00932A74">
      <w:pPr>
        <w:pStyle w:val="Normale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tragedie della guerra: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</w:t>
      </w:r>
      <w:proofErr w:type="spellStart"/>
      <w:r>
        <w:rPr>
          <w:color w:val="000000"/>
        </w:rPr>
        <w:t>Eraclidi</w:t>
      </w:r>
      <w:proofErr w:type="spellEnd"/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-Andromaca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-Ecuba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-Supplici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-Troiane</w:t>
      </w:r>
    </w:p>
    <w:p w:rsidR="00932A74" w:rsidRDefault="00932A74" w:rsidP="00932A74">
      <w:pPr>
        <w:pStyle w:val="Normale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“tragedie d’intrigo”: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-Elena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-Ione</w:t>
      </w:r>
    </w:p>
    <w:p w:rsidR="00932A74" w:rsidRDefault="00932A74" w:rsidP="00932A74">
      <w:pPr>
        <w:pStyle w:val="NormaleWeb"/>
        <w:spacing w:before="0" w:beforeAutospacing="0" w:after="0" w:afterAutospacing="0"/>
        <w:ind w:left="720"/>
      </w:pPr>
      <w:r>
        <w:rPr>
          <w:color w:val="000000"/>
        </w:rPr>
        <w:t>-Eracle</w:t>
      </w:r>
    </w:p>
    <w:p w:rsidR="00932A74" w:rsidRDefault="00932A74" w:rsidP="00932A74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Le Baccanti</w:t>
      </w:r>
    </w:p>
    <w:p w:rsidR="00932A74" w:rsidRDefault="00932A74" w:rsidP="00932A74">
      <w:pPr>
        <w:pStyle w:val="Normale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Lingua e stile</w:t>
      </w:r>
    </w:p>
    <w:p w:rsidR="00932A74" w:rsidRDefault="00932A74" w:rsidP="00932A74">
      <w:pPr>
        <w:pStyle w:val="NormaleWeb"/>
        <w:numPr>
          <w:ilvl w:val="0"/>
          <w:numId w:val="10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Metrica e musica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Letture antologiche: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 xml:space="preserve">Dalla disperazione alla vendetta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Medea </w:t>
      </w:r>
      <w:r>
        <w:rPr>
          <w:color w:val="000000"/>
        </w:rPr>
        <w:t>vv.96-266)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 xml:space="preserve">Medea e Giasone </w:t>
      </w:r>
      <w:r>
        <w:rPr>
          <w:color w:val="000000"/>
        </w:rPr>
        <w:t>(</w:t>
      </w:r>
      <w:r>
        <w:rPr>
          <w:i/>
          <w:iCs/>
          <w:color w:val="000000"/>
        </w:rPr>
        <w:t>Medea</w:t>
      </w:r>
      <w:r>
        <w:rPr>
          <w:color w:val="000000"/>
        </w:rPr>
        <w:t xml:space="preserve"> vv.446-626)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 xml:space="preserve">Il monologo di Medea </w:t>
      </w:r>
      <w:r>
        <w:rPr>
          <w:color w:val="000000"/>
        </w:rPr>
        <w:t>(</w:t>
      </w:r>
      <w:r>
        <w:rPr>
          <w:i/>
          <w:iCs/>
          <w:color w:val="000000"/>
        </w:rPr>
        <w:t xml:space="preserve">Medea </w:t>
      </w:r>
      <w:r>
        <w:rPr>
          <w:color w:val="000000"/>
        </w:rPr>
        <w:t>vv.1019-1080</w:t>
      </w:r>
    </w:p>
    <w:p w:rsidR="00932A74" w:rsidRDefault="00932A74" w:rsidP="00932A74">
      <w:pPr>
        <w:pStyle w:val="NormaleWeb"/>
        <w:spacing w:before="0" w:beforeAutospacing="0" w:after="160" w:afterAutospacing="0"/>
      </w:pPr>
      <w:proofErr w:type="spellStart"/>
      <w:r>
        <w:rPr>
          <w:i/>
          <w:iCs/>
          <w:color w:val="000000"/>
        </w:rPr>
        <w:t>Alcesti</w:t>
      </w:r>
      <w:proofErr w:type="spellEnd"/>
      <w:r>
        <w:rPr>
          <w:i/>
          <w:iCs/>
          <w:color w:val="000000"/>
        </w:rPr>
        <w:t xml:space="preserve"> si sacrifica per il marito </w:t>
      </w:r>
      <w:r>
        <w:rPr>
          <w:color w:val="000000"/>
        </w:rPr>
        <w:t>(</w:t>
      </w:r>
      <w:proofErr w:type="spellStart"/>
      <w:r>
        <w:rPr>
          <w:i/>
          <w:iCs/>
          <w:color w:val="000000"/>
        </w:rPr>
        <w:t>Alcesti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vv.280-325)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i/>
          <w:iCs/>
          <w:color w:val="000000"/>
        </w:rPr>
        <w:t xml:space="preserve">Il contrasto tra Admeto e </w:t>
      </w:r>
      <w:proofErr w:type="spellStart"/>
      <w:r>
        <w:rPr>
          <w:i/>
          <w:iCs/>
          <w:color w:val="000000"/>
        </w:rPr>
        <w:t>Ferete</w:t>
      </w:r>
      <w:proofErr w:type="spellEnd"/>
      <w:r>
        <w:rPr>
          <w:i/>
          <w:iCs/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i/>
          <w:iCs/>
          <w:color w:val="000000"/>
        </w:rPr>
        <w:t>Alcesti</w:t>
      </w:r>
      <w:proofErr w:type="spellEnd"/>
      <w:r>
        <w:rPr>
          <w:color w:val="000000"/>
        </w:rPr>
        <w:t xml:space="preserve"> vv.614-708)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La commedia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La commedia specchio della polis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Le caratteristiche della commedia antica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La struttura e gli elementi formali e stilistici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L’origine della commedia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Aristofane</w:t>
      </w:r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vita</w:t>
      </w:r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La comicità aristofanea: parodia e realismo</w:t>
      </w:r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>L’ideologia di Aristofane</w:t>
      </w:r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Le commedie della pace:</w:t>
      </w:r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Acarnesi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Cavalieri</w:t>
      </w:r>
      <w:r>
        <w:rPr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Lisistrata</w:t>
      </w:r>
      <w:proofErr w:type="spellEnd"/>
    </w:p>
    <w:p w:rsidR="00932A74" w:rsidRDefault="00932A74" w:rsidP="00932A74">
      <w:pPr>
        <w:pStyle w:val="NormaleWeb"/>
        <w:numPr>
          <w:ilvl w:val="0"/>
          <w:numId w:val="11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Aristofane e il mondo culturale della sua epoca: </w:t>
      </w:r>
      <w:r>
        <w:rPr>
          <w:i/>
          <w:iCs/>
          <w:color w:val="000000"/>
        </w:rPr>
        <w:t>Le nuvole</w:t>
      </w:r>
      <w:r>
        <w:rPr>
          <w:color w:val="000000"/>
        </w:rPr>
        <w:t xml:space="preserve"> e </w:t>
      </w:r>
      <w:r>
        <w:rPr>
          <w:i/>
          <w:iCs/>
          <w:color w:val="000000"/>
        </w:rPr>
        <w:t>Le rane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b/>
          <w:bCs/>
          <w:color w:val="000000"/>
        </w:rPr>
        <w:t>Cenni sulla storiografia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 xml:space="preserve">Le origini della storiografia: </w:t>
      </w:r>
      <w:proofErr w:type="spellStart"/>
      <w:r>
        <w:rPr>
          <w:color w:val="000000"/>
        </w:rPr>
        <w:t>Ecateo</w:t>
      </w:r>
      <w:proofErr w:type="spellEnd"/>
      <w:r>
        <w:rPr>
          <w:color w:val="000000"/>
        </w:rPr>
        <w:t xml:space="preserve"> di Mileto e i logografi. 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La storiografia morale di Erodoto.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</w:rPr>
        <w:t>Tucidide e la storiografia pragmatica: cenni biografici, il contesto storico, l'opera e il metodo storiografico.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smallCaps/>
          <w:color w:val="000000"/>
        </w:rPr>
        <w:t>PROGRAMMA DI CLASSICO</w:t>
      </w:r>
    </w:p>
    <w:p w:rsidR="00932A74" w:rsidRDefault="00932A74" w:rsidP="00932A74">
      <w:pPr>
        <w:pStyle w:val="NormaleWeb"/>
        <w:spacing w:before="0" w:beforeAutospacing="0" w:after="160" w:afterAutospacing="0"/>
      </w:pPr>
      <w:proofErr w:type="spellStart"/>
      <w:r>
        <w:rPr>
          <w:color w:val="000000"/>
          <w:sz w:val="22"/>
          <w:szCs w:val="22"/>
        </w:rPr>
        <w:t>Archiloco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i/>
          <w:iCs/>
          <w:color w:val="000000"/>
          <w:sz w:val="22"/>
          <w:szCs w:val="22"/>
        </w:rPr>
        <w:t>Il ritmo della vita</w:t>
      </w:r>
      <w:r>
        <w:rPr>
          <w:color w:val="000000"/>
          <w:sz w:val="22"/>
          <w:szCs w:val="22"/>
        </w:rPr>
        <w:t>, (fr.7 D)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Alceo, </w:t>
      </w:r>
      <w:r>
        <w:rPr>
          <w:i/>
          <w:iCs/>
          <w:color w:val="000000"/>
          <w:sz w:val="22"/>
          <w:szCs w:val="22"/>
        </w:rPr>
        <w:t>La nave dello stato</w:t>
      </w:r>
      <w:r>
        <w:rPr>
          <w:color w:val="000000"/>
          <w:sz w:val="22"/>
          <w:szCs w:val="22"/>
        </w:rPr>
        <w:t xml:space="preserve"> (fr.208a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Saffo, </w:t>
      </w:r>
      <w:r>
        <w:rPr>
          <w:i/>
          <w:iCs/>
          <w:color w:val="000000"/>
          <w:sz w:val="22"/>
          <w:szCs w:val="22"/>
        </w:rPr>
        <w:t>Malattia d’amore</w:t>
      </w:r>
      <w:r>
        <w:rPr>
          <w:color w:val="000000"/>
          <w:sz w:val="22"/>
          <w:szCs w:val="22"/>
        </w:rPr>
        <w:t xml:space="preserve"> (fr.31 V.)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smallCaps/>
          <w:color w:val="000000"/>
          <w:sz w:val="22"/>
          <w:szCs w:val="22"/>
        </w:rPr>
        <w:t>PROGRAMMA DI GRAMMATICA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Uso dei pronomi relativi e relativi indefiniti.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Usi e valori </w:t>
      </w:r>
      <w:proofErr w:type="gramStart"/>
      <w:r>
        <w:rPr>
          <w:color w:val="000000"/>
          <w:sz w:val="22"/>
          <w:szCs w:val="22"/>
        </w:rPr>
        <w:t>di  </w:t>
      </w:r>
      <w:r>
        <w:rPr>
          <w:rFonts w:ascii="Athenian" w:hAnsi="Athenian"/>
          <w:color w:val="000000"/>
          <w:sz w:val="22"/>
          <w:szCs w:val="22"/>
        </w:rPr>
        <w:t>-</w:t>
      </w:r>
      <w:proofErr w:type="spellStart"/>
      <w:proofErr w:type="gramEnd"/>
      <w:r>
        <w:rPr>
          <w:rFonts w:ascii="Athenian" w:hAnsi="Athenian"/>
          <w:color w:val="000000"/>
          <w:sz w:val="22"/>
          <w:szCs w:val="22"/>
        </w:rPr>
        <w:t>ws</w:t>
      </w:r>
      <w:proofErr w:type="spellEnd"/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Gli usi del participio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 xml:space="preserve">Assenza di </w:t>
      </w:r>
      <w:r>
        <w:rPr>
          <w:i/>
          <w:iCs/>
          <w:color w:val="000000"/>
          <w:sz w:val="22"/>
          <w:szCs w:val="22"/>
        </w:rPr>
        <w:t>consecutio temporum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L’uso dei tempi greci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La proposizione finale di forma esplicita e di forma implicita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La proposizione consecutiva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rPr>
          <w:color w:val="000000"/>
          <w:sz w:val="22"/>
          <w:szCs w:val="22"/>
        </w:rPr>
        <w:t>Gli alunni                                                                                                            L’insegnante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</w:p>
    <w:p w:rsidR="00932A74" w:rsidRDefault="00932A74" w:rsidP="00932A74">
      <w:pPr>
        <w:pStyle w:val="NormaleWeb"/>
        <w:spacing w:before="0" w:beforeAutospacing="0" w:after="160" w:afterAutospacing="0"/>
      </w:pPr>
      <w:r>
        <w:t> </w:t>
      </w:r>
    </w:p>
    <w:p w:rsidR="00B64156" w:rsidRDefault="00B64156"/>
    <w:sectPr w:rsidR="00B641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theni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4C4C"/>
    <w:multiLevelType w:val="multilevel"/>
    <w:tmpl w:val="7CCE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45FA5"/>
    <w:multiLevelType w:val="multilevel"/>
    <w:tmpl w:val="FA1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15395"/>
    <w:multiLevelType w:val="multilevel"/>
    <w:tmpl w:val="9280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065EF"/>
    <w:multiLevelType w:val="multilevel"/>
    <w:tmpl w:val="941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B2034C"/>
    <w:multiLevelType w:val="multilevel"/>
    <w:tmpl w:val="374A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7213A"/>
    <w:multiLevelType w:val="multilevel"/>
    <w:tmpl w:val="CFAC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E1560"/>
    <w:multiLevelType w:val="multilevel"/>
    <w:tmpl w:val="8FEC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960C78"/>
    <w:multiLevelType w:val="multilevel"/>
    <w:tmpl w:val="F4F29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447ED2"/>
    <w:multiLevelType w:val="multilevel"/>
    <w:tmpl w:val="09D8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D549F8"/>
    <w:multiLevelType w:val="multilevel"/>
    <w:tmpl w:val="C6C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8A7590"/>
    <w:multiLevelType w:val="multilevel"/>
    <w:tmpl w:val="E9481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74"/>
    <w:rsid w:val="00932A74"/>
    <w:rsid w:val="00975922"/>
    <w:rsid w:val="00B64156"/>
    <w:rsid w:val="00D4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379DD-02C2-4D19-97A5-C6683A65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tab-span">
    <w:name w:val="apple-tab-span"/>
    <w:basedOn w:val="Carpredefinitoparagrafo"/>
    <w:rsid w:val="0093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2017-06-16T08:43:00Z</dcterms:created>
  <dcterms:modified xsi:type="dcterms:W3CDTF">2017-06-16T08:43:00Z</dcterms:modified>
</cp:coreProperties>
</file>