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F2" w:rsidRDefault="009A2BF2" w:rsidP="009A2BF2">
      <w:pPr>
        <w:pStyle w:val="Corpotesto"/>
        <w:rPr>
          <w:sz w:val="32"/>
        </w:rPr>
      </w:pPr>
      <w:r>
        <w:rPr>
          <w:sz w:val="32"/>
        </w:rPr>
        <w:t>PROGRAMMA DI FILOSOFIA</w:t>
      </w:r>
      <w:r>
        <w:rPr>
          <w:sz w:val="32"/>
        </w:rPr>
        <w:br/>
        <w:t>CLASSE II SEZ. D       Anno scolastico 2016/2017</w:t>
      </w:r>
    </w:p>
    <w:p w:rsidR="009A2BF2" w:rsidRDefault="009A2BF2" w:rsidP="009A2BF2">
      <w:pPr>
        <w:pStyle w:val="Corpotesto"/>
        <w:rPr>
          <w:sz w:val="32"/>
        </w:rPr>
      </w:pPr>
    </w:p>
    <w:p w:rsidR="009A2BF2" w:rsidRDefault="009A2BF2" w:rsidP="009A2BF2">
      <w:pPr>
        <w:pStyle w:val="Corpotesto"/>
      </w:pPr>
    </w:p>
    <w:p w:rsidR="009A2BF2" w:rsidRDefault="009A2BF2" w:rsidP="009A2BF2">
      <w:pPr>
        <w:pStyle w:val="Corpotesto"/>
      </w:pPr>
    </w:p>
    <w:p w:rsidR="009A2BF2" w:rsidRPr="00231EFB" w:rsidRDefault="009A2BF2" w:rsidP="009A2BF2">
      <w:pPr>
        <w:jc w:val="both"/>
        <w:rPr>
          <w:b/>
          <w:bCs/>
          <w:sz w:val="28"/>
          <w:szCs w:val="28"/>
        </w:rPr>
      </w:pPr>
    </w:p>
    <w:p w:rsidR="009A2BF2" w:rsidRDefault="009A2BF2" w:rsidP="009A2BF2">
      <w:pPr>
        <w:pStyle w:val="Corpodeltesto2"/>
        <w:rPr>
          <w:sz w:val="28"/>
        </w:rPr>
      </w:pPr>
      <w:r>
        <w:rPr>
          <w:sz w:val="28"/>
        </w:rPr>
        <w:t>MOD. 1 –APPLICAZIONE DI CATEGORIE CONCETTUALI ASTRATTE A SITUAZIONI CONCRETE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pStyle w:val="Titolo1"/>
      </w:pPr>
      <w:r>
        <w:t>L’EVOLUZIONE DEL PENSIERO POLITICO TRA ‘500 E ‘700</w:t>
      </w:r>
    </w:p>
    <w:p w:rsidR="009A2BF2" w:rsidRPr="00F508D8" w:rsidRDefault="009A2BF2" w:rsidP="009A2BF2">
      <w:pPr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“</w:t>
      </w:r>
      <w:r w:rsidRPr="00F508D8">
        <w:rPr>
          <w:bCs/>
        </w:rPr>
        <w:t>Cinque grandi postulati teorici che caratterizzano il giusnaturalismo” in “Il testo filosofico” pag. 222</w:t>
      </w:r>
    </w:p>
    <w:p w:rsidR="009A2BF2" w:rsidRPr="00F508D8" w:rsidRDefault="009A2BF2" w:rsidP="009A2BF2">
      <w:pPr>
        <w:ind w:left="360"/>
        <w:jc w:val="both"/>
        <w:rPr>
          <w:bCs/>
        </w:rPr>
      </w:pPr>
    </w:p>
    <w:p w:rsidR="009A2BF2" w:rsidRDefault="009A2BF2" w:rsidP="009A2BF2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Grozio</w:t>
      </w:r>
      <w:proofErr w:type="spellEnd"/>
    </w:p>
    <w:p w:rsidR="009A2BF2" w:rsidRDefault="009A2BF2" w:rsidP="009A2BF2">
      <w:pPr>
        <w:numPr>
          <w:ilvl w:val="1"/>
          <w:numId w:val="1"/>
        </w:numPr>
        <w:jc w:val="both"/>
      </w:pPr>
      <w:r>
        <w:t xml:space="preserve">“I fondamenti del diritto naturale” di </w:t>
      </w:r>
      <w:proofErr w:type="spellStart"/>
      <w:r>
        <w:t>Grozio</w:t>
      </w:r>
      <w:proofErr w:type="spellEnd"/>
      <w:r>
        <w:t xml:space="preserve"> in “Il testo filosofico” pag. 218</w:t>
      </w:r>
    </w:p>
    <w:p w:rsidR="009A2BF2" w:rsidRDefault="009A2BF2" w:rsidP="009A2BF2">
      <w:pPr>
        <w:ind w:left="1080"/>
        <w:jc w:val="both"/>
      </w:pPr>
    </w:p>
    <w:p w:rsidR="009A2BF2" w:rsidRDefault="009A2BF2" w:rsidP="009A2BF2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Bodin</w:t>
      </w:r>
      <w:proofErr w:type="spellEnd"/>
    </w:p>
    <w:p w:rsidR="009A2BF2" w:rsidRDefault="009A2BF2" w:rsidP="009A2BF2">
      <w:pPr>
        <w:numPr>
          <w:ilvl w:val="1"/>
          <w:numId w:val="1"/>
        </w:numPr>
        <w:jc w:val="both"/>
      </w:pPr>
      <w:r>
        <w:t xml:space="preserve">“La sovranità” di </w:t>
      </w:r>
      <w:proofErr w:type="spellStart"/>
      <w:r>
        <w:t>Bodin</w:t>
      </w:r>
      <w:proofErr w:type="spellEnd"/>
      <w:r>
        <w:t xml:space="preserve"> in “Il testo filosofico” pag. 211</w:t>
      </w:r>
    </w:p>
    <w:p w:rsidR="009A2BF2" w:rsidRDefault="009A2BF2" w:rsidP="009A2BF2">
      <w:pPr>
        <w:jc w:val="both"/>
      </w:pPr>
    </w:p>
    <w:p w:rsidR="009A2BF2" w:rsidRDefault="009A2BF2" w:rsidP="009A2BF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Locke</w:t>
      </w:r>
    </w:p>
    <w:p w:rsidR="009A2BF2" w:rsidRDefault="009A2BF2" w:rsidP="009A2BF2">
      <w:pPr>
        <w:numPr>
          <w:ilvl w:val="1"/>
          <w:numId w:val="1"/>
        </w:numPr>
        <w:jc w:val="both"/>
      </w:pPr>
      <w:r>
        <w:t>“Origini, caratteri e fini dello stato civile” di Locke in “Il testo filosofico” pag. 702</w:t>
      </w:r>
    </w:p>
    <w:p w:rsidR="009A2BF2" w:rsidRDefault="009A2BF2" w:rsidP="009A2BF2">
      <w:pPr>
        <w:jc w:val="both"/>
      </w:pPr>
    </w:p>
    <w:p w:rsidR="009A2BF2" w:rsidRDefault="009A2BF2" w:rsidP="009A2BF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Hobbes</w:t>
      </w:r>
    </w:p>
    <w:p w:rsidR="009A2BF2" w:rsidRDefault="009A2BF2" w:rsidP="009A2BF2">
      <w:pPr>
        <w:numPr>
          <w:ilvl w:val="1"/>
          <w:numId w:val="1"/>
        </w:numPr>
        <w:jc w:val="both"/>
      </w:pPr>
      <w:r>
        <w:t>“Lo stato di natura” di Hobbes in “L’operazione storica” pag. 429</w:t>
      </w:r>
    </w:p>
    <w:p w:rsidR="009A2BF2" w:rsidRDefault="009A2BF2" w:rsidP="009A2BF2">
      <w:pPr>
        <w:numPr>
          <w:ilvl w:val="1"/>
          <w:numId w:val="1"/>
        </w:numPr>
        <w:jc w:val="both"/>
      </w:pPr>
      <w:r>
        <w:t>“L’origine dello stato” di Hobbes in “Il testo filosofico” pag. 461</w:t>
      </w:r>
    </w:p>
    <w:p w:rsidR="009A2BF2" w:rsidRDefault="009A2BF2" w:rsidP="009A2BF2">
      <w:pPr>
        <w:jc w:val="both"/>
      </w:pPr>
    </w:p>
    <w:p w:rsidR="009A2BF2" w:rsidRDefault="009A2BF2" w:rsidP="009A2BF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Rousseau</w:t>
      </w:r>
    </w:p>
    <w:p w:rsidR="009A2BF2" w:rsidRDefault="009A2BF2" w:rsidP="009A2BF2">
      <w:pPr>
        <w:ind w:left="720"/>
        <w:jc w:val="both"/>
      </w:pPr>
      <w:r>
        <w:t>“La volontà generale e la sovranità” di Rousseau in “Il testo filosofico” pag. 1179</w:t>
      </w:r>
    </w:p>
    <w:p w:rsidR="009A2BF2" w:rsidRDefault="009A2BF2" w:rsidP="009A2BF2">
      <w:pPr>
        <w:jc w:val="both"/>
      </w:pPr>
    </w:p>
    <w:p w:rsidR="009A2BF2" w:rsidRDefault="009A2BF2" w:rsidP="009A2BF2">
      <w:pPr>
        <w:jc w:val="both"/>
      </w:pPr>
    </w:p>
    <w:p w:rsidR="009A2BF2" w:rsidRDefault="009A2BF2" w:rsidP="009A2BF2">
      <w:pPr>
        <w:pStyle w:val="Titolo1"/>
      </w:pPr>
      <w:r>
        <w:t>ESEMPI DI CARTE COSTITUZIONALI</w:t>
      </w:r>
    </w:p>
    <w:p w:rsidR="009A2BF2" w:rsidRPr="00385F71" w:rsidRDefault="009A2BF2" w:rsidP="009A2BF2"/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Liberalismo e democrazia</w:t>
      </w:r>
    </w:p>
    <w:p w:rsidR="009A2BF2" w:rsidRDefault="009A2BF2" w:rsidP="009A2BF2">
      <w:pPr>
        <w:ind w:left="720"/>
        <w:jc w:val="both"/>
        <w:rPr>
          <w:bCs/>
        </w:rPr>
      </w:pPr>
      <w:r>
        <w:rPr>
          <w:b/>
          <w:bCs/>
        </w:rPr>
        <w:t>“</w:t>
      </w:r>
      <w:r>
        <w:rPr>
          <w:bCs/>
        </w:rPr>
        <w:t>Liberalismo” in “Stato e società” pag. 282; “Democrazia” in “Stato e società” pag.137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“Bill of rights” </w:t>
      </w:r>
    </w:p>
    <w:p w:rsidR="009A2BF2" w:rsidRDefault="009A2BF2" w:rsidP="009A2BF2">
      <w:pPr>
        <w:ind w:left="360"/>
        <w:jc w:val="both"/>
        <w:rPr>
          <w:b/>
          <w:bCs/>
          <w:lang w:val="en-GB"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smartTag w:uri="urn:schemas-microsoft-com:office:smarttags" w:element="PersonName">
        <w:smartTagPr>
          <w:attr w:name="ProductID" w:val="La Costituzione"/>
        </w:smartTagPr>
        <w:r>
          <w:rPr>
            <w:b/>
            <w:bCs/>
          </w:rPr>
          <w:t>La Costituzione</w:t>
        </w:r>
      </w:smartTag>
      <w:r>
        <w:rPr>
          <w:b/>
          <w:bCs/>
        </w:rPr>
        <w:t xml:space="preserve"> di Cadice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smartTag w:uri="urn:schemas-microsoft-com:office:smarttags" w:element="PersonName">
        <w:smartTagPr>
          <w:attr w:name="ProductID" w:val="La Costituzione"/>
        </w:smartTagPr>
        <w:r>
          <w:rPr>
            <w:b/>
            <w:bCs/>
          </w:rPr>
          <w:t>La Costituzione</w:t>
        </w:r>
      </w:smartTag>
      <w:r>
        <w:rPr>
          <w:b/>
          <w:bCs/>
        </w:rPr>
        <w:t xml:space="preserve"> francese del 1814</w:t>
      </w:r>
    </w:p>
    <w:p w:rsidR="009A2BF2" w:rsidRDefault="009A2BF2" w:rsidP="009A2BF2">
      <w:pPr>
        <w:ind w:left="360"/>
        <w:jc w:val="both"/>
        <w:rPr>
          <w:b/>
          <w:bCs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smartTag w:uri="urn:schemas-microsoft-com:office:smarttags" w:element="PersonName">
        <w:smartTagPr>
          <w:attr w:name="ProductID" w:val="La Costituzione"/>
        </w:smartTagPr>
        <w:r>
          <w:rPr>
            <w:b/>
            <w:bCs/>
          </w:rPr>
          <w:t>La Costituzione</w:t>
        </w:r>
      </w:smartTag>
      <w:r>
        <w:rPr>
          <w:b/>
          <w:bCs/>
        </w:rPr>
        <w:t xml:space="preserve"> italiana</w:t>
      </w:r>
    </w:p>
    <w:p w:rsidR="009A2BF2" w:rsidRDefault="009A2BF2" w:rsidP="009A2BF2">
      <w:pPr>
        <w:ind w:left="360"/>
        <w:jc w:val="both"/>
        <w:rPr>
          <w:b/>
          <w:bCs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“La concezione maoista della &lt;democrazia popolare&gt;” in “Storia e storiografia” pag. 1085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numPr>
          <w:ilvl w:val="0"/>
          <w:numId w:val="2"/>
        </w:numPr>
        <w:jc w:val="both"/>
        <w:rPr>
          <w:b/>
          <w:bCs/>
        </w:rPr>
      </w:pPr>
      <w:smartTag w:uri="urn:schemas-microsoft-com:office:smarttags" w:element="PersonName">
        <w:smartTagPr>
          <w:attr w:name="ProductID" w:val="La Costituzione"/>
        </w:smartTagPr>
        <w:r>
          <w:rPr>
            <w:b/>
            <w:bCs/>
          </w:rPr>
          <w:t>La Costituzione</w:t>
        </w:r>
      </w:smartTag>
      <w:r>
        <w:rPr>
          <w:b/>
          <w:bCs/>
        </w:rPr>
        <w:t xml:space="preserve"> sovietica del 1936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jc w:val="both"/>
        <w:rPr>
          <w:b/>
          <w:bCs/>
        </w:rPr>
      </w:pPr>
      <w:r>
        <w:rPr>
          <w:b/>
          <w:bCs/>
        </w:rPr>
        <w:t>DIBATTITO STORIOGRAFICO</w:t>
      </w:r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jc w:val="both"/>
        <w:rPr>
          <w:b/>
          <w:bCs/>
        </w:rPr>
      </w:pPr>
      <w:r>
        <w:rPr>
          <w:b/>
          <w:bCs/>
        </w:rPr>
        <w:t xml:space="preserve">“Libertà positiva e libertà negativa” di N. </w:t>
      </w:r>
      <w:proofErr w:type="spellStart"/>
      <w:r>
        <w:rPr>
          <w:b/>
          <w:bCs/>
        </w:rPr>
        <w:t>Warburton</w:t>
      </w:r>
      <w:proofErr w:type="spellEnd"/>
    </w:p>
    <w:p w:rsidR="009A2BF2" w:rsidRDefault="009A2BF2" w:rsidP="009A2BF2">
      <w:pPr>
        <w:jc w:val="both"/>
        <w:rPr>
          <w:b/>
          <w:bCs/>
        </w:rPr>
      </w:pPr>
      <w:r>
        <w:rPr>
          <w:b/>
          <w:bCs/>
        </w:rPr>
        <w:t xml:space="preserve">“Che cosa differenzia le società liberali dai regimi libertari?” di J. </w:t>
      </w:r>
      <w:proofErr w:type="spellStart"/>
      <w:r>
        <w:rPr>
          <w:b/>
          <w:bCs/>
        </w:rPr>
        <w:t>Rawls</w:t>
      </w:r>
      <w:proofErr w:type="spellEnd"/>
    </w:p>
    <w:p w:rsidR="009A2BF2" w:rsidRDefault="009A2BF2" w:rsidP="009A2BF2">
      <w:pPr>
        <w:jc w:val="both"/>
        <w:rPr>
          <w:b/>
          <w:bCs/>
        </w:rPr>
      </w:pPr>
    </w:p>
    <w:p w:rsidR="009A2BF2" w:rsidRDefault="009A2BF2" w:rsidP="009A2BF2">
      <w:pPr>
        <w:jc w:val="center"/>
        <w:rPr>
          <w:b/>
          <w:bCs/>
        </w:rPr>
      </w:pPr>
    </w:p>
    <w:p w:rsidR="009A2BF2" w:rsidRDefault="009A2BF2" w:rsidP="009A2BF2">
      <w:pPr>
        <w:pStyle w:val="Corpodeltesto3"/>
        <w:jc w:val="center"/>
      </w:pPr>
      <w:r>
        <w:t>MOD. 2: INDIVIDUAZIONE DELLE MOTIVAZIONI CULTURALI ED IDEOLOGICHE ALLA BASE DELLE DIVERSE INTERPRETAZIONI DI UNO STESSO AUTORE</w:t>
      </w:r>
    </w:p>
    <w:p w:rsidR="009A2BF2" w:rsidRDefault="009A2BF2" w:rsidP="009A2BF2">
      <w:pPr>
        <w:pStyle w:val="Corpodeltesto3"/>
        <w:jc w:val="center"/>
      </w:pPr>
    </w:p>
    <w:p w:rsidR="009A2BF2" w:rsidRPr="00666EFD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rPr>
          <w:sz w:val="24"/>
        </w:rPr>
      </w:pPr>
      <w:r w:rsidRPr="00666EFD">
        <w:rPr>
          <w:sz w:val="24"/>
        </w:rPr>
        <w:t xml:space="preserve">“La magia e l’astrologia si può dire che ebbero una funzione progressiva?” di </w:t>
      </w:r>
      <w:proofErr w:type="spellStart"/>
      <w:r w:rsidRPr="00666EFD">
        <w:rPr>
          <w:sz w:val="24"/>
        </w:rPr>
        <w:t>Garin</w:t>
      </w:r>
      <w:proofErr w:type="spellEnd"/>
    </w:p>
    <w:p w:rsidR="009A2BF2" w:rsidRPr="00666EFD" w:rsidRDefault="009A2BF2" w:rsidP="009A2BF2">
      <w:pPr>
        <w:pStyle w:val="Corpodeltesto3"/>
        <w:rPr>
          <w:sz w:val="24"/>
        </w:rPr>
      </w:pPr>
      <w:r w:rsidRPr="00666EFD">
        <w:rPr>
          <w:sz w:val="24"/>
        </w:rPr>
        <w:t xml:space="preserve">“La </w:t>
      </w:r>
      <w:proofErr w:type="spellStart"/>
      <w:r w:rsidRPr="00666EFD">
        <w:rPr>
          <w:sz w:val="24"/>
        </w:rPr>
        <w:t>decompartimentazione</w:t>
      </w:r>
      <w:proofErr w:type="spellEnd"/>
      <w:r w:rsidRPr="00666EFD">
        <w:rPr>
          <w:sz w:val="24"/>
        </w:rPr>
        <w:t xml:space="preserve"> del sapere” di </w:t>
      </w:r>
      <w:proofErr w:type="spellStart"/>
      <w:r w:rsidRPr="00666EFD">
        <w:rPr>
          <w:sz w:val="24"/>
        </w:rPr>
        <w:t>Panofsky</w:t>
      </w:r>
      <w:proofErr w:type="spellEnd"/>
    </w:p>
    <w:p w:rsidR="009A2BF2" w:rsidRDefault="009A2BF2" w:rsidP="009A2BF2">
      <w:pPr>
        <w:pStyle w:val="Corpodeltesto3"/>
        <w:rPr>
          <w:sz w:val="24"/>
        </w:rPr>
      </w:pPr>
    </w:p>
    <w:p w:rsidR="009A2BF2" w:rsidRPr="00666EFD" w:rsidRDefault="009A2BF2" w:rsidP="009A2BF2">
      <w:pPr>
        <w:pStyle w:val="Corpodeltesto3"/>
        <w:rPr>
          <w:sz w:val="24"/>
        </w:rPr>
      </w:pPr>
    </w:p>
    <w:p w:rsidR="009A2BF2" w:rsidRPr="00666EFD" w:rsidRDefault="009A2BF2" w:rsidP="009A2BF2">
      <w:pPr>
        <w:pStyle w:val="Corpodeltesto3"/>
        <w:rPr>
          <w:b w:val="0"/>
          <w:sz w:val="24"/>
        </w:rPr>
      </w:pPr>
    </w:p>
    <w:p w:rsidR="009A2BF2" w:rsidRDefault="009A2BF2" w:rsidP="009A2BF2">
      <w:pPr>
        <w:pStyle w:val="Corpodeltesto3"/>
        <w:rPr>
          <w:sz w:val="24"/>
        </w:rPr>
      </w:pPr>
      <w:r>
        <w:rPr>
          <w:sz w:val="24"/>
        </w:rPr>
        <w:t>GIORDANO BRUNO: SINTESI E SUPERAMENTO DELLA CULTURA RINASCIMENTALE</w:t>
      </w:r>
    </w:p>
    <w:p w:rsidR="009A2BF2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numPr>
          <w:ilvl w:val="0"/>
          <w:numId w:val="3"/>
        </w:numPr>
        <w:rPr>
          <w:sz w:val="24"/>
        </w:rPr>
      </w:pPr>
      <w:r>
        <w:rPr>
          <w:sz w:val="24"/>
        </w:rPr>
        <w:t>Giordano Bruno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“L’oggetto dell’indagine filosofica” di G. Bruno in “Il testo filosofico” pag.247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“L’infinità dell’universo dedotta dall’infinita potenza divina” di G. Bruno in “Il testo filosofico” pag. 93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“Un’ unica sostanza è il fondamento di tutti gli enti” di G: Bruno in “Il testo filosofico” pag.251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“La grande avventura filosofica di Giordano Bruno” in </w:t>
      </w:r>
      <w:proofErr w:type="spellStart"/>
      <w:r>
        <w:rPr>
          <w:b w:val="0"/>
          <w:bCs w:val="0"/>
          <w:sz w:val="24"/>
        </w:rPr>
        <w:t>Vegetti</w:t>
      </w:r>
      <w:proofErr w:type="spellEnd"/>
      <w:r>
        <w:rPr>
          <w:b w:val="0"/>
          <w:bCs w:val="0"/>
          <w:sz w:val="24"/>
        </w:rPr>
        <w:t xml:space="preserve"> – Alessio – Papi “Filosofie e società” pag.88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“Giordano Bruno: la religione come metafisica dell’infinito e l’&lt;eroico furore&gt;” in Reale – </w:t>
      </w:r>
      <w:proofErr w:type="spellStart"/>
      <w:r>
        <w:rPr>
          <w:b w:val="0"/>
          <w:bCs w:val="0"/>
          <w:sz w:val="24"/>
        </w:rPr>
        <w:t>Antiseri</w:t>
      </w:r>
      <w:proofErr w:type="spellEnd"/>
      <w:r>
        <w:rPr>
          <w:b w:val="0"/>
          <w:bCs w:val="0"/>
          <w:sz w:val="24"/>
        </w:rPr>
        <w:t xml:space="preserve"> “Il pensiero occidentale dalle origini ad oggi” pag.114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jc w:val="center"/>
      </w:pPr>
      <w:r>
        <w:t>MOD. 3: DIVERSI MODELLI EPISTEMOLOGICI A CONFRONTO</w:t>
      </w:r>
    </w:p>
    <w:p w:rsidR="009A2BF2" w:rsidRDefault="009A2BF2" w:rsidP="009A2BF2">
      <w:pPr>
        <w:pStyle w:val="Corpodeltesto3"/>
        <w:jc w:val="center"/>
      </w:pPr>
    </w:p>
    <w:p w:rsidR="009A2BF2" w:rsidRDefault="009A2BF2" w:rsidP="009A2BF2">
      <w:pPr>
        <w:pStyle w:val="Corpodeltesto3"/>
        <w:rPr>
          <w:sz w:val="24"/>
        </w:rPr>
      </w:pPr>
      <w:r>
        <w:rPr>
          <w:sz w:val="24"/>
        </w:rPr>
        <w:t>IL PROBLEMA DEL METODO SCIENTIFICO: GALILEI, CARTESIO, HOBBES, POPPER E KUHN</w:t>
      </w:r>
    </w:p>
    <w:p w:rsidR="009A2BF2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numPr>
          <w:ilvl w:val="0"/>
          <w:numId w:val="4"/>
        </w:numPr>
        <w:rPr>
          <w:sz w:val="24"/>
        </w:rPr>
      </w:pPr>
      <w:r>
        <w:rPr>
          <w:sz w:val="24"/>
        </w:rPr>
        <w:t>Galileo Galilei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“L’esperienza del gran naviglio” di Galilei in “Il testo filosofico” pag.393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 lettera a Castelli di Galilei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numPr>
          <w:ilvl w:val="0"/>
          <w:numId w:val="3"/>
        </w:numPr>
        <w:rPr>
          <w:sz w:val="24"/>
        </w:rPr>
      </w:pPr>
      <w:r>
        <w:rPr>
          <w:sz w:val="24"/>
        </w:rPr>
        <w:t>T. Kuhn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 “Rivoluzioni scientifiche” pag. 4, 5, 6, 7, 8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numPr>
          <w:ilvl w:val="0"/>
          <w:numId w:val="3"/>
        </w:numPr>
        <w:rPr>
          <w:sz w:val="24"/>
        </w:rPr>
      </w:pPr>
      <w:r>
        <w:rPr>
          <w:sz w:val="24"/>
        </w:rPr>
        <w:t>Popper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 critica dell’induzione e il metodo della falsificazione” in “Il testo filosofico” pag. 687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numPr>
          <w:ilvl w:val="0"/>
          <w:numId w:val="3"/>
        </w:numPr>
        <w:rPr>
          <w:sz w:val="24"/>
        </w:rPr>
      </w:pPr>
      <w:r>
        <w:rPr>
          <w:sz w:val="24"/>
        </w:rPr>
        <w:t>Cartesio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“La matematica universale e le regole del metodo” di Cartesio in “Il testo filosofico” pag.325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 prima Meditazione di Cartesio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“Il cogito e la res </w:t>
      </w:r>
      <w:proofErr w:type="spellStart"/>
      <w:r>
        <w:rPr>
          <w:b w:val="0"/>
          <w:bCs w:val="0"/>
          <w:sz w:val="24"/>
        </w:rPr>
        <w:t>cogitans</w:t>
      </w:r>
      <w:proofErr w:type="spellEnd"/>
      <w:r>
        <w:rPr>
          <w:b w:val="0"/>
          <w:bCs w:val="0"/>
          <w:sz w:val="24"/>
        </w:rPr>
        <w:t>” di Cartesio in “Il testo filosofico” pag. 494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numPr>
          <w:ilvl w:val="0"/>
          <w:numId w:val="3"/>
        </w:numPr>
        <w:rPr>
          <w:sz w:val="24"/>
        </w:rPr>
      </w:pPr>
      <w:r>
        <w:rPr>
          <w:sz w:val="24"/>
        </w:rPr>
        <w:t>Hobbes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“Metodo geometrico e ipotesi fisiche” di Hobbes in “Il testo filosofico” pag. 331</w:t>
      </w:r>
    </w:p>
    <w:p w:rsidR="009A2BF2" w:rsidRDefault="009A2BF2" w:rsidP="009A2BF2">
      <w:pPr>
        <w:pStyle w:val="Corpodeltesto3"/>
        <w:numPr>
          <w:ilvl w:val="1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La logica di Hobbes in “T, Hobbes” a cura di A. Pacchi pag. 28, </w:t>
      </w:r>
      <w:smartTag w:uri="urn:schemas-microsoft-com:office:smarttags" w:element="metricconverter">
        <w:smartTagPr>
          <w:attr w:name="ProductID" w:val="36 a"/>
        </w:smartTagPr>
        <w:r>
          <w:rPr>
            <w:b w:val="0"/>
            <w:bCs w:val="0"/>
            <w:sz w:val="24"/>
          </w:rPr>
          <w:t>36 a</w:t>
        </w:r>
      </w:smartTag>
      <w:r>
        <w:rPr>
          <w:b w:val="0"/>
          <w:bCs w:val="0"/>
          <w:sz w:val="24"/>
        </w:rPr>
        <w:t xml:space="preserve"> 38, 49, </w:t>
      </w:r>
      <w:smartTag w:uri="urn:schemas-microsoft-com:office:smarttags" w:element="metricconverter">
        <w:smartTagPr>
          <w:attr w:name="ProductID" w:val="52 a"/>
        </w:smartTagPr>
        <w:r>
          <w:rPr>
            <w:b w:val="0"/>
            <w:bCs w:val="0"/>
            <w:sz w:val="24"/>
          </w:rPr>
          <w:t>52 a</w:t>
        </w:r>
      </w:smartTag>
      <w:r>
        <w:rPr>
          <w:b w:val="0"/>
          <w:bCs w:val="0"/>
          <w:sz w:val="24"/>
        </w:rPr>
        <w:t xml:space="preserve"> 54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Pr="0038151B" w:rsidRDefault="009A2BF2" w:rsidP="009A2BF2">
      <w:pPr>
        <w:pStyle w:val="Corpodeltesto3"/>
        <w:jc w:val="center"/>
      </w:pPr>
      <w:r>
        <w:t>MOD. 4:</w:t>
      </w:r>
      <w:r w:rsidRPr="0038151B">
        <w:rPr>
          <w:szCs w:val="28"/>
        </w:rPr>
        <w:t xml:space="preserve"> LOCKE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ind w:left="720"/>
        <w:rPr>
          <w:sz w:val="24"/>
        </w:rPr>
      </w:pPr>
    </w:p>
    <w:p w:rsidR="009A2BF2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rPr>
          <w:sz w:val="24"/>
        </w:rPr>
      </w:pPr>
    </w:p>
    <w:p w:rsidR="009A2BF2" w:rsidRPr="00F508D8" w:rsidRDefault="009A2BF2" w:rsidP="009A2BF2">
      <w:pPr>
        <w:pStyle w:val="Corpotesto"/>
        <w:rPr>
          <w:bCs w:val="0"/>
        </w:rPr>
      </w:pPr>
      <w:r>
        <w:rPr>
          <w:bCs w:val="0"/>
        </w:rPr>
        <w:t>MOD. 6</w:t>
      </w:r>
      <w:r w:rsidRPr="00F508D8">
        <w:rPr>
          <w:bCs w:val="0"/>
        </w:rPr>
        <w:t>: STESURA DI UN TESTO ARGOMENTATIVO ESPRESSO NEL LINGUAGGIO SPECIFICO DI UN AUTORE</w:t>
      </w: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numPr>
          <w:ilvl w:val="0"/>
          <w:numId w:val="5"/>
        </w:numPr>
        <w:jc w:val="center"/>
        <w:rPr>
          <w:b/>
        </w:rPr>
      </w:pPr>
      <w:smartTag w:uri="urn:schemas-microsoft-com:office:smarttags" w:element="PersonName">
        <w:smartTagPr>
          <w:attr w:name="ProductID" w:val="LA CRITICA DELLA"/>
        </w:smartTagPr>
        <w:r>
          <w:rPr>
            <w:b/>
          </w:rPr>
          <w:t>LA CRITICA DELLA</w:t>
        </w:r>
      </w:smartTag>
      <w:r>
        <w:rPr>
          <w:b/>
        </w:rPr>
        <w:t xml:space="preserve"> RAGIONE IN KANT</w:t>
      </w:r>
    </w:p>
    <w:p w:rsidR="009A2BF2" w:rsidRDefault="009A2BF2" w:rsidP="009A2BF2">
      <w:pPr>
        <w:jc w:val="both"/>
      </w:pPr>
    </w:p>
    <w:p w:rsidR="009A2BF2" w:rsidRDefault="009A2BF2" w:rsidP="009A2BF2">
      <w:pPr>
        <w:jc w:val="both"/>
        <w:rPr>
          <w:b/>
        </w:rPr>
      </w:pPr>
      <w:r>
        <w:rPr>
          <w:b/>
        </w:rPr>
        <w:t>a)</w:t>
      </w:r>
      <w:r>
        <w:t xml:space="preserve">   </w:t>
      </w:r>
      <w:smartTag w:uri="urn:schemas-microsoft-com:office:smarttags" w:element="PersonName">
        <w:smartTagPr>
          <w:attr w:name="ProductID" w:val="La Critica"/>
        </w:smartTagPr>
        <w:r>
          <w:rPr>
            <w:b/>
          </w:rPr>
          <w:t>La Critica</w:t>
        </w:r>
      </w:smartTag>
      <w:r>
        <w:rPr>
          <w:b/>
        </w:rPr>
        <w:t xml:space="preserve"> della Ragion pura</w:t>
      </w:r>
    </w:p>
    <w:p w:rsidR="009A2BF2" w:rsidRDefault="009A2BF2" w:rsidP="009A2BF2">
      <w:pPr>
        <w:pStyle w:val="Corpodeltesto31"/>
        <w:spacing w:line="240" w:lineRule="auto"/>
        <w:rPr>
          <w:rFonts w:ascii="Times New Roman" w:hAnsi="Times New Roman"/>
          <w:sz w:val="24"/>
        </w:rPr>
      </w:pPr>
    </w:p>
    <w:p w:rsidR="009A2BF2" w:rsidRPr="00F508D8" w:rsidRDefault="009A2BF2" w:rsidP="009A2BF2">
      <w:pPr>
        <w:pStyle w:val="Corpotesto"/>
        <w:rPr>
          <w:b w:val="0"/>
          <w:sz w:val="24"/>
        </w:rPr>
      </w:pPr>
      <w:r w:rsidRPr="00F508D8">
        <w:rPr>
          <w:sz w:val="24"/>
        </w:rPr>
        <w:t xml:space="preserve">    </w:t>
      </w:r>
      <w:r w:rsidRPr="00F508D8">
        <w:rPr>
          <w:b w:val="0"/>
          <w:sz w:val="24"/>
        </w:rPr>
        <w:t xml:space="preserve">- l’Estetica trascendentale: da “Critica della Ragion pura” di Kant ed. UL (da pag. </w:t>
      </w:r>
      <w:smartTag w:uri="urn:schemas-microsoft-com:office:smarttags" w:element="metricconverter">
        <w:smartTagPr>
          <w:attr w:name="ProductID" w:val="65 a"/>
        </w:smartTagPr>
        <w:r w:rsidRPr="00F508D8">
          <w:rPr>
            <w:b w:val="0"/>
            <w:sz w:val="24"/>
          </w:rPr>
          <w:t>65 a</w:t>
        </w:r>
      </w:smartTag>
      <w:r w:rsidRPr="00F508D8">
        <w:rPr>
          <w:b w:val="0"/>
          <w:sz w:val="24"/>
        </w:rPr>
        <w:t xml:space="preserve"> pag. 67,     da pag. </w:t>
      </w:r>
      <w:smartTag w:uri="urn:schemas-microsoft-com:office:smarttags" w:element="metricconverter">
        <w:smartTagPr>
          <w:attr w:name="ProductID" w:val="83 a"/>
        </w:smartTagPr>
        <w:r w:rsidRPr="00F508D8">
          <w:rPr>
            <w:b w:val="0"/>
            <w:sz w:val="24"/>
          </w:rPr>
          <w:t>83 a</w:t>
        </w:r>
      </w:smartTag>
      <w:r w:rsidRPr="00F508D8">
        <w:rPr>
          <w:b w:val="0"/>
          <w:sz w:val="24"/>
        </w:rPr>
        <w:t xml:space="preserve"> pag. 91)</w:t>
      </w:r>
    </w:p>
    <w:p w:rsidR="009A2BF2" w:rsidRDefault="009A2BF2" w:rsidP="009A2BF2">
      <w:pPr>
        <w:jc w:val="both"/>
      </w:pPr>
      <w:r>
        <w:t xml:space="preserve">    - l’Analitica trascendentale: da “Critica della Ragion pura” op. cit. ( da pag. </w:t>
      </w:r>
      <w:smartTag w:uri="urn:schemas-microsoft-com:office:smarttags" w:element="metricconverter">
        <w:smartTagPr>
          <w:attr w:name="ProductID" w:val="130 a"/>
        </w:smartTagPr>
        <w:r>
          <w:t>130 a</w:t>
        </w:r>
      </w:smartTag>
      <w:r>
        <w:t xml:space="preserve"> pag. 139)</w:t>
      </w:r>
    </w:p>
    <w:p w:rsidR="009A2BF2" w:rsidRDefault="009A2BF2" w:rsidP="009A2BF2">
      <w:pPr>
        <w:jc w:val="both"/>
        <w:rPr>
          <w:b/>
        </w:rPr>
      </w:pPr>
      <w:r>
        <w:t xml:space="preserve">   - </w:t>
      </w:r>
      <w:smartTag w:uri="urn:schemas-microsoft-com:office:smarttags" w:element="PersonName">
        <w:smartTagPr>
          <w:attr w:name="ProductID" w:val="la Dialettica"/>
        </w:smartTagPr>
        <w:r>
          <w:t>la Dialettica</w:t>
        </w:r>
      </w:smartTag>
      <w:r>
        <w:t xml:space="preserve"> trascendentale</w:t>
      </w:r>
      <w:r>
        <w:rPr>
          <w:b/>
        </w:rPr>
        <w:t xml:space="preserve"> </w:t>
      </w:r>
    </w:p>
    <w:p w:rsidR="009A2BF2" w:rsidRPr="00874566" w:rsidRDefault="009A2BF2" w:rsidP="009A2BF2">
      <w:pPr>
        <w:pStyle w:val="Corpodeltesto3"/>
        <w:rPr>
          <w:bCs w:val="0"/>
          <w:sz w:val="24"/>
        </w:rPr>
      </w:pPr>
      <w:bookmarkStart w:id="0" w:name="_GoBack"/>
      <w:bookmarkEnd w:id="0"/>
    </w:p>
    <w:p w:rsidR="009A2BF2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rPr>
          <w:sz w:val="24"/>
        </w:rPr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</w:pPr>
      <w:r>
        <w:t>L’INSEGNANTE                                                       GLI ALUNNI</w:t>
      </w:r>
    </w:p>
    <w:p w:rsidR="009A2BF2" w:rsidRDefault="009A2BF2" w:rsidP="009A2BF2">
      <w:pPr>
        <w:pStyle w:val="Corpodeltesto3"/>
        <w:ind w:left="360"/>
        <w:rPr>
          <w:sz w:val="24"/>
        </w:rPr>
      </w:pPr>
      <w:r>
        <w:rPr>
          <w:sz w:val="24"/>
        </w:rPr>
        <w:t xml:space="preserve">      </w:t>
      </w:r>
    </w:p>
    <w:p w:rsidR="009A2BF2" w:rsidRDefault="009A2BF2" w:rsidP="009A2BF2">
      <w:pPr>
        <w:pStyle w:val="Corpodeltesto3"/>
        <w:jc w:val="center"/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rPr>
          <w:b w:val="0"/>
          <w:bCs w:val="0"/>
          <w:sz w:val="24"/>
        </w:rPr>
      </w:pPr>
    </w:p>
    <w:p w:rsidR="009A2BF2" w:rsidRDefault="009A2BF2" w:rsidP="009A2BF2">
      <w:pPr>
        <w:pStyle w:val="Corpodeltesto3"/>
        <w:ind w:left="360"/>
      </w:pPr>
      <w:r>
        <w:t xml:space="preserve">      </w:t>
      </w:r>
    </w:p>
    <w:p w:rsidR="009A2BF2" w:rsidRDefault="009A2BF2" w:rsidP="009A2BF2"/>
    <w:p w:rsidR="009A2BF2" w:rsidRDefault="009A2BF2" w:rsidP="009A2BF2"/>
    <w:p w:rsidR="009A2BF2" w:rsidRDefault="009A2BF2" w:rsidP="009A2BF2"/>
    <w:p w:rsidR="009A2BF2" w:rsidRDefault="009A2BF2" w:rsidP="009A2BF2"/>
    <w:p w:rsidR="00FA5C79" w:rsidRDefault="00FA5C79"/>
    <w:sectPr w:rsidR="00FA5C79" w:rsidSect="00E11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8B0"/>
    <w:multiLevelType w:val="hybridMultilevel"/>
    <w:tmpl w:val="D76A9F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A5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31EAD"/>
    <w:multiLevelType w:val="hybridMultilevel"/>
    <w:tmpl w:val="682CB7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75BB1"/>
    <w:multiLevelType w:val="hybridMultilevel"/>
    <w:tmpl w:val="413AD3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51B38"/>
    <w:multiLevelType w:val="hybridMultilevel"/>
    <w:tmpl w:val="98C0AD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0428F"/>
    <w:multiLevelType w:val="hybridMultilevel"/>
    <w:tmpl w:val="987C37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F2"/>
    <w:rsid w:val="003F78B6"/>
    <w:rsid w:val="00603CFE"/>
    <w:rsid w:val="009A2BF2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E8F714"/>
  <w15:chartTrackingRefBased/>
  <w15:docId w15:val="{99A9150D-01B5-4CA8-B0FA-40613FD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A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2BF2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2B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A2BF2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A2BF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A2BF2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9A2B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9A2BF2"/>
    <w:pPr>
      <w:jc w:val="both"/>
    </w:pPr>
    <w:rPr>
      <w:b/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9A2BF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Corpodeltesto31">
    <w:name w:val="Corpo del testo 31"/>
    <w:basedOn w:val="Normale"/>
    <w:rsid w:val="009A2BF2"/>
    <w:pPr>
      <w:spacing w:line="360" w:lineRule="atLeast"/>
      <w:jc w:val="both"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Petrossi MariaGrazia</dc:creator>
  <cp:keywords/>
  <dc:description/>
  <cp:lastModifiedBy>Petrossi MariaGrazia</cp:lastModifiedBy>
  <cp:revision>2</cp:revision>
  <dcterms:created xsi:type="dcterms:W3CDTF">2017-05-20T09:55:00Z</dcterms:created>
  <dcterms:modified xsi:type="dcterms:W3CDTF">2017-05-25T07:01:00Z</dcterms:modified>
</cp:coreProperties>
</file>